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FA79D" w14:textId="657A4457"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w:t>
      </w:r>
      <w:r w:rsidR="00D85F6B">
        <w:rPr>
          <w:rFonts w:ascii="Arial" w:hAnsi="Arial" w:cs="Arial"/>
          <w:sz w:val="24"/>
          <w:szCs w:val="28"/>
          <w:lang w:val="en-CA"/>
        </w:rPr>
        <w:t>7</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466E02">
        <w:rPr>
          <w:rFonts w:ascii="Arial" w:hAnsi="Arial" w:cs="Arial"/>
          <w:sz w:val="24"/>
          <w:szCs w:val="28"/>
          <w:lang w:val="en-CA"/>
        </w:rPr>
        <w:t>7862</w:t>
      </w:r>
    </w:p>
    <w:p w14:paraId="280E2474" w14:textId="51A531D1" w:rsidR="00D80957" w:rsidRPr="00457F73" w:rsidRDefault="00D85F6B"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Busan</w:t>
      </w:r>
      <w:r w:rsidR="00B14854">
        <w:rPr>
          <w:rFonts w:ascii="Arial" w:hAnsi="Arial" w:cs="Arial"/>
          <w:sz w:val="24"/>
          <w:szCs w:val="28"/>
          <w:lang w:val="en-CA"/>
        </w:rPr>
        <w:t xml:space="preserve">, </w:t>
      </w:r>
      <w:r>
        <w:rPr>
          <w:rFonts w:ascii="Arial" w:hAnsi="Arial" w:cs="Arial"/>
          <w:sz w:val="24"/>
          <w:szCs w:val="28"/>
          <w:lang w:val="en-CA"/>
        </w:rPr>
        <w:t>Korea</w:t>
      </w:r>
      <w:r w:rsidR="00FA5AC6">
        <w:rPr>
          <w:rFonts w:ascii="Arial" w:hAnsi="Arial" w:cs="Arial"/>
          <w:sz w:val="24"/>
          <w:szCs w:val="28"/>
          <w:lang w:val="en-CA"/>
        </w:rPr>
        <w:t>,</w:t>
      </w:r>
      <w:r w:rsidR="00A2225E">
        <w:rPr>
          <w:rFonts w:ascii="Arial" w:hAnsi="Arial" w:cs="Arial"/>
          <w:sz w:val="24"/>
          <w:szCs w:val="28"/>
          <w:lang w:val="en-CA"/>
        </w:rPr>
        <w:t xml:space="preserve"> </w:t>
      </w:r>
      <w:r>
        <w:rPr>
          <w:rFonts w:ascii="Arial" w:hAnsi="Arial" w:cs="Arial"/>
          <w:sz w:val="24"/>
          <w:szCs w:val="28"/>
          <w:lang w:val="en-CA"/>
        </w:rPr>
        <w:t>May 21 – 25, 2018</w:t>
      </w:r>
    </w:p>
    <w:p w14:paraId="419937A1" w14:textId="0A0DA71D"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071FE2">
        <w:rPr>
          <w:rFonts w:ascii="Arial" w:hAnsi="Arial" w:cs="Arial"/>
          <w:sz w:val="22"/>
          <w:szCs w:val="22"/>
          <w:lang w:val="en-US"/>
        </w:rPr>
        <w:t>7</w:t>
      </w:r>
      <w:r w:rsidR="00FA5AC6">
        <w:rPr>
          <w:rFonts w:ascii="Arial" w:hAnsi="Arial" w:cs="Arial"/>
          <w:sz w:val="22"/>
          <w:szCs w:val="22"/>
          <w:lang w:val="en-US"/>
        </w:rPr>
        <w:t>.</w:t>
      </w:r>
      <w:r w:rsidR="00071FE2">
        <w:rPr>
          <w:rFonts w:ascii="Arial" w:hAnsi="Arial" w:cs="Arial"/>
          <w:sz w:val="22"/>
          <w:szCs w:val="22"/>
          <w:lang w:val="en-US"/>
        </w:rPr>
        <w:t>10</w:t>
      </w:r>
      <w:r w:rsidR="00FA5AC6">
        <w:rPr>
          <w:rFonts w:ascii="Arial" w:hAnsi="Arial" w:cs="Arial"/>
          <w:sz w:val="22"/>
          <w:szCs w:val="22"/>
          <w:lang w:val="en-US"/>
        </w:rPr>
        <w:t>.</w:t>
      </w:r>
      <w:r w:rsidR="00071FE2">
        <w:rPr>
          <w:rFonts w:ascii="Arial" w:hAnsi="Arial" w:cs="Arial"/>
          <w:sz w:val="22"/>
          <w:szCs w:val="22"/>
          <w:lang w:val="en-US"/>
        </w:rPr>
        <w:t>10</w:t>
      </w:r>
      <w:r w:rsidR="00FA5AC6">
        <w:rPr>
          <w:rFonts w:ascii="Arial" w:hAnsi="Arial" w:cs="Arial"/>
          <w:sz w:val="22"/>
          <w:szCs w:val="22"/>
          <w:lang w:val="en-US"/>
        </w:rPr>
        <w:t>.</w:t>
      </w:r>
      <w:r w:rsidR="00071FE2">
        <w:rPr>
          <w:rFonts w:ascii="Arial" w:hAnsi="Arial" w:cs="Arial"/>
          <w:sz w:val="22"/>
          <w:szCs w:val="22"/>
          <w:lang w:val="en-US"/>
        </w:rPr>
        <w:t>5</w:t>
      </w:r>
    </w:p>
    <w:p w14:paraId="2DF7EBE3" w14:textId="77777777"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1B21397C" w14:textId="43A2DC99"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517C40" w:rsidRPr="00517C40">
        <w:rPr>
          <w:rFonts w:ascii="Arial" w:hAnsi="Arial" w:cs="Arial"/>
          <w:sz w:val="22"/>
          <w:szCs w:val="22"/>
          <w:lang w:val="en-CA"/>
        </w:rPr>
        <w:t xml:space="preserve">Quality of </w:t>
      </w:r>
      <w:r w:rsidR="002E38EE">
        <w:rPr>
          <w:rFonts w:ascii="Arial" w:hAnsi="Arial" w:cs="Arial"/>
          <w:sz w:val="22"/>
          <w:szCs w:val="22"/>
          <w:lang w:val="en-CA"/>
        </w:rPr>
        <w:t xml:space="preserve">the </w:t>
      </w:r>
      <w:bookmarkStart w:id="1" w:name="_GoBack"/>
      <w:bookmarkEnd w:id="1"/>
      <w:r w:rsidR="00517C40">
        <w:rPr>
          <w:rFonts w:ascii="Arial" w:hAnsi="Arial" w:cs="Arial"/>
          <w:sz w:val="22"/>
          <w:szCs w:val="22"/>
          <w:lang w:val="en-CA"/>
        </w:rPr>
        <w:t xml:space="preserve">first </w:t>
      </w:r>
      <w:r w:rsidR="00517C40" w:rsidRPr="00517C40">
        <w:rPr>
          <w:rFonts w:ascii="Arial" w:hAnsi="Arial" w:cs="Arial"/>
          <w:sz w:val="22"/>
          <w:szCs w:val="22"/>
          <w:lang w:val="en-CA"/>
        </w:rPr>
        <w:t>reported CQI value upon SCell activation</w:t>
      </w:r>
    </w:p>
    <w:p w14:paraId="64A7119A" w14:textId="185C5082"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253573">
        <w:rPr>
          <w:rFonts w:ascii="Arial" w:hAnsi="Arial" w:cs="Arial"/>
          <w:sz w:val="22"/>
          <w:szCs w:val="22"/>
          <w:lang w:val="en-CA"/>
        </w:rPr>
        <w:t>Discussion</w:t>
      </w:r>
    </w:p>
    <w:p w14:paraId="785B2CB0" w14:textId="35F8B51B"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3964B8C2" w14:textId="16FD729C" w:rsidR="00D25DDC" w:rsidRDefault="009316C1" w:rsidP="007E539F">
      <w:pPr>
        <w:jc w:val="both"/>
        <w:rPr>
          <w:sz w:val="22"/>
          <w:lang w:val="en-CA"/>
        </w:rPr>
      </w:pPr>
      <w:r>
        <w:rPr>
          <w:sz w:val="22"/>
          <w:lang w:val="en-CA"/>
        </w:rPr>
        <w:t>The SCell activation time requirement ha</w:t>
      </w:r>
      <w:r w:rsidR="00D25DDC">
        <w:rPr>
          <w:sz w:val="22"/>
          <w:lang w:val="en-CA"/>
        </w:rPr>
        <w:t>s</w:t>
      </w:r>
      <w:r>
        <w:rPr>
          <w:sz w:val="22"/>
          <w:lang w:val="en-CA"/>
        </w:rPr>
        <w:t xml:space="preserve"> been extensively discussed the last six months. </w:t>
      </w:r>
      <w:r w:rsidR="00D25DDC">
        <w:rPr>
          <w:sz w:val="22"/>
          <w:lang w:val="en-CA"/>
        </w:rPr>
        <w:t>One detail that has been raised several times in the discussions is the quality of the first valid CQI value reported to the gNB, and which indicates to the gNB that the UE is ready for being allocated in the SCell.</w:t>
      </w:r>
    </w:p>
    <w:p w14:paraId="708D3A6C" w14:textId="24C2F2E7" w:rsidR="004D0F41" w:rsidRDefault="00D25DDC" w:rsidP="007E539F">
      <w:pPr>
        <w:jc w:val="both"/>
        <w:rPr>
          <w:sz w:val="22"/>
          <w:lang w:val="en-CA"/>
        </w:rPr>
      </w:pPr>
      <w:r>
        <w:rPr>
          <w:sz w:val="22"/>
          <w:lang w:val="en-CA"/>
        </w:rPr>
        <w:t xml:space="preserve">In this contribution we are </w:t>
      </w:r>
      <w:r w:rsidR="007E539F">
        <w:rPr>
          <w:sz w:val="22"/>
          <w:lang w:val="en-CA"/>
        </w:rPr>
        <w:t xml:space="preserve">further discussing the CQI and how it is used by the gNB. The aim is to clarify that a slight deviation from optimum absolute CQI value is acceptable and is to be preferred over the UE using longer time for the CQI estimation. </w:t>
      </w:r>
    </w:p>
    <w:p w14:paraId="54CC0A9B" w14:textId="77777777" w:rsidR="0089497E" w:rsidRDefault="00FF6031" w:rsidP="0089497E">
      <w:pPr>
        <w:pStyle w:val="Heading1"/>
        <w:ind w:left="431" w:hanging="431"/>
        <w:rPr>
          <w:szCs w:val="36"/>
          <w:lang w:val="en-CA"/>
        </w:rPr>
      </w:pPr>
      <w:r>
        <w:rPr>
          <w:szCs w:val="36"/>
          <w:lang w:val="en-CA"/>
        </w:rPr>
        <w:t>Discussion</w:t>
      </w:r>
    </w:p>
    <w:p w14:paraId="0561E58F" w14:textId="5D16EF40" w:rsidR="007E539F" w:rsidRDefault="007E539F" w:rsidP="00E37271">
      <w:pPr>
        <w:jc w:val="both"/>
        <w:rPr>
          <w:sz w:val="22"/>
          <w:szCs w:val="22"/>
          <w:lang w:val="en-CA"/>
        </w:rPr>
      </w:pPr>
      <w:r>
        <w:rPr>
          <w:sz w:val="22"/>
          <w:szCs w:val="22"/>
          <w:lang w:val="en-CA"/>
        </w:rPr>
        <w:t>The CQI measurement essentially comprises determining the SINR of a known signal. In case of significant errors in gain setting, timing and/or frequency tuning, the estimated SINR and thereby the CQI, will be degraded.</w:t>
      </w:r>
    </w:p>
    <w:p w14:paraId="55341366" w14:textId="14EE7A65" w:rsidR="007E539F" w:rsidRDefault="007E539F" w:rsidP="00E37271">
      <w:pPr>
        <w:jc w:val="both"/>
        <w:rPr>
          <w:sz w:val="22"/>
          <w:szCs w:val="22"/>
          <w:lang w:val="en-CA"/>
        </w:rPr>
      </w:pPr>
      <w:r>
        <w:rPr>
          <w:sz w:val="22"/>
          <w:szCs w:val="22"/>
          <w:lang w:val="en-CA"/>
        </w:rPr>
        <w:t xml:space="preserve">In LTE it </w:t>
      </w:r>
      <w:r w:rsidR="00E37271">
        <w:rPr>
          <w:sz w:val="22"/>
          <w:szCs w:val="22"/>
          <w:lang w:val="en-CA"/>
        </w:rPr>
        <w:t>has been</w:t>
      </w:r>
      <w:r>
        <w:rPr>
          <w:sz w:val="22"/>
          <w:szCs w:val="22"/>
          <w:lang w:val="en-CA"/>
        </w:rPr>
        <w:t xml:space="preserve"> specified that the UE shall report a </w:t>
      </w:r>
      <w:r w:rsidRPr="00393FB8">
        <w:rPr>
          <w:i/>
          <w:sz w:val="22"/>
          <w:szCs w:val="22"/>
          <w:lang w:val="en-CA"/>
        </w:rPr>
        <w:t xml:space="preserve">valid </w:t>
      </w:r>
      <w:r w:rsidRPr="007E539F">
        <w:rPr>
          <w:sz w:val="22"/>
          <w:szCs w:val="22"/>
          <w:lang w:val="en-CA"/>
        </w:rPr>
        <w:t>CQI</w:t>
      </w:r>
      <w:r w:rsidR="00E37271">
        <w:rPr>
          <w:sz w:val="22"/>
          <w:szCs w:val="22"/>
          <w:lang w:val="en-CA"/>
        </w:rPr>
        <w:t>,</w:t>
      </w:r>
      <w:r w:rsidRPr="007E539F">
        <w:rPr>
          <w:sz w:val="22"/>
          <w:szCs w:val="22"/>
          <w:lang w:val="en-CA"/>
        </w:rPr>
        <w:t xml:space="preserve"> </w:t>
      </w:r>
      <w:r>
        <w:rPr>
          <w:sz w:val="22"/>
          <w:szCs w:val="22"/>
          <w:lang w:val="en-CA"/>
        </w:rPr>
        <w:t xml:space="preserve">i.e. a </w:t>
      </w:r>
      <w:r w:rsidR="00E37271">
        <w:rPr>
          <w:sz w:val="22"/>
          <w:szCs w:val="22"/>
          <w:lang w:val="en-CA"/>
        </w:rPr>
        <w:t xml:space="preserve">non-zero </w:t>
      </w:r>
      <w:r>
        <w:rPr>
          <w:sz w:val="22"/>
          <w:szCs w:val="22"/>
          <w:lang w:val="en-CA"/>
        </w:rPr>
        <w:t xml:space="preserve">CQI, within some time frame after having received the SCell activation command. The validity of the initially reported CQI is however not tested, and </w:t>
      </w:r>
      <w:r w:rsidR="00E37271">
        <w:rPr>
          <w:sz w:val="22"/>
          <w:szCs w:val="22"/>
          <w:lang w:val="en-CA"/>
        </w:rPr>
        <w:t xml:space="preserve">that </w:t>
      </w:r>
      <w:r>
        <w:rPr>
          <w:sz w:val="22"/>
          <w:szCs w:val="22"/>
          <w:lang w:val="en-CA"/>
        </w:rPr>
        <w:t>for a good reason</w:t>
      </w:r>
      <w:r w:rsidR="00E37271">
        <w:rPr>
          <w:sz w:val="22"/>
          <w:szCs w:val="22"/>
          <w:lang w:val="en-CA"/>
        </w:rPr>
        <w:t xml:space="preserve"> as explained below</w:t>
      </w:r>
      <w:r>
        <w:rPr>
          <w:sz w:val="22"/>
          <w:szCs w:val="22"/>
          <w:lang w:val="en-CA"/>
        </w:rPr>
        <w:t>.</w:t>
      </w:r>
      <w:r w:rsidR="00E37271">
        <w:rPr>
          <w:sz w:val="22"/>
          <w:szCs w:val="22"/>
          <w:lang w:val="en-CA"/>
        </w:rPr>
        <w:t xml:space="preserve"> We assume that this will be used as baseline in NR, too.</w:t>
      </w:r>
    </w:p>
    <w:p w14:paraId="278477FC" w14:textId="4DCBE4B3" w:rsidR="00CA5A21" w:rsidRDefault="00E37271" w:rsidP="00E37271">
      <w:pPr>
        <w:jc w:val="both"/>
        <w:rPr>
          <w:sz w:val="22"/>
          <w:szCs w:val="22"/>
          <w:lang w:val="en-CA"/>
        </w:rPr>
      </w:pPr>
      <w:r>
        <w:rPr>
          <w:sz w:val="22"/>
          <w:szCs w:val="22"/>
          <w:lang w:val="en-CA"/>
        </w:rPr>
        <w:t xml:space="preserve">Each UE implementation is associated with a bias in the reported CQI. The gNB determines this bias using outer loop link adaptation (OLLA), where </w:t>
      </w:r>
      <w:r w:rsidR="00CA5A21">
        <w:rPr>
          <w:sz w:val="22"/>
          <w:szCs w:val="22"/>
          <w:lang w:val="en-CA"/>
        </w:rPr>
        <w:t>the gNB,</w:t>
      </w:r>
      <w:r>
        <w:rPr>
          <w:sz w:val="22"/>
          <w:szCs w:val="22"/>
          <w:lang w:val="en-CA"/>
        </w:rPr>
        <w:t xml:space="preserve"> based on reported ACK/NACKs</w:t>
      </w:r>
      <w:r w:rsidR="00CA5A21">
        <w:rPr>
          <w:sz w:val="22"/>
          <w:szCs w:val="22"/>
          <w:lang w:val="en-CA"/>
        </w:rPr>
        <w:t>,</w:t>
      </w:r>
      <w:r>
        <w:rPr>
          <w:sz w:val="22"/>
          <w:szCs w:val="22"/>
          <w:lang w:val="en-CA"/>
        </w:rPr>
        <w:t xml:space="preserve"> determines the difference in the CQI reported by the UE and the CQI used in the MCS table for </w:t>
      </w:r>
      <w:r w:rsidR="00CA5A21">
        <w:rPr>
          <w:sz w:val="22"/>
          <w:szCs w:val="22"/>
          <w:lang w:val="en-CA"/>
        </w:rPr>
        <w:t xml:space="preserve">achieving the </w:t>
      </w:r>
      <w:r>
        <w:rPr>
          <w:sz w:val="22"/>
          <w:szCs w:val="22"/>
          <w:lang w:val="en-CA"/>
        </w:rPr>
        <w:t>target BLER</w:t>
      </w:r>
      <w:r w:rsidR="00CA5A21">
        <w:rPr>
          <w:sz w:val="22"/>
          <w:szCs w:val="22"/>
          <w:lang w:val="en-CA"/>
        </w:rPr>
        <w:t xml:space="preserve"> (i.e. 10%)</w:t>
      </w:r>
      <w:r>
        <w:rPr>
          <w:sz w:val="22"/>
          <w:szCs w:val="22"/>
          <w:lang w:val="en-CA"/>
        </w:rPr>
        <w:t>.</w:t>
      </w:r>
      <w:r w:rsidR="00CA5A21">
        <w:rPr>
          <w:sz w:val="22"/>
          <w:szCs w:val="22"/>
          <w:lang w:val="en-CA"/>
        </w:rPr>
        <w:t xml:space="preserve"> This means that before the gNB has had OLLA</w:t>
      </w:r>
      <w:r>
        <w:rPr>
          <w:sz w:val="22"/>
          <w:szCs w:val="22"/>
          <w:lang w:val="en-CA"/>
        </w:rPr>
        <w:t xml:space="preserve"> </w:t>
      </w:r>
      <w:r w:rsidR="00CA5A21">
        <w:rPr>
          <w:sz w:val="22"/>
          <w:szCs w:val="22"/>
          <w:lang w:val="en-CA"/>
        </w:rPr>
        <w:t>running for enough time to get statistics, it cannot fully trust the CQI reported by the UE. After it has acquired statistics, it knows how to compensate the reported CQI when selecting MCS and can be a bit more aggressive</w:t>
      </w:r>
      <w:r w:rsidR="00953D4A">
        <w:rPr>
          <w:sz w:val="22"/>
          <w:szCs w:val="22"/>
          <w:lang w:val="en-CA"/>
        </w:rPr>
        <w:t xml:space="preserve"> in the selection of MCS</w:t>
      </w:r>
      <w:r w:rsidR="00CA5A21">
        <w:rPr>
          <w:sz w:val="22"/>
          <w:szCs w:val="22"/>
          <w:lang w:val="en-CA"/>
        </w:rPr>
        <w:t>. This means that a slight inaccuracy in the initially reported CQI does not have a significant impact on the system performance.</w:t>
      </w:r>
    </w:p>
    <w:p w14:paraId="3C6B308C" w14:textId="628FD0B5" w:rsidR="00953D4A" w:rsidRDefault="00CA5A21" w:rsidP="00E37271">
      <w:pPr>
        <w:jc w:val="both"/>
        <w:rPr>
          <w:sz w:val="22"/>
          <w:szCs w:val="22"/>
          <w:lang w:val="en-CA"/>
        </w:rPr>
      </w:pPr>
      <w:r>
        <w:rPr>
          <w:sz w:val="22"/>
          <w:szCs w:val="22"/>
          <w:lang w:val="en-CA"/>
        </w:rPr>
        <w:t xml:space="preserve">As </w:t>
      </w:r>
      <w:r w:rsidR="00953D4A">
        <w:rPr>
          <w:sz w:val="22"/>
          <w:szCs w:val="22"/>
          <w:lang w:val="en-CA"/>
        </w:rPr>
        <w:t>described</w:t>
      </w:r>
      <w:r>
        <w:rPr>
          <w:sz w:val="22"/>
          <w:szCs w:val="22"/>
          <w:lang w:val="en-CA"/>
        </w:rPr>
        <w:t xml:space="preserve"> in the related contribution </w:t>
      </w:r>
      <w:r w:rsidR="00953D4A">
        <w:rPr>
          <w:sz w:val="22"/>
          <w:szCs w:val="22"/>
          <w:lang w:val="en-CA"/>
        </w:rPr>
        <w:fldChar w:fldCharType="begin"/>
      </w:r>
      <w:r w:rsidR="00953D4A">
        <w:rPr>
          <w:sz w:val="22"/>
          <w:szCs w:val="22"/>
          <w:lang w:val="en-CA"/>
        </w:rPr>
        <w:instrText xml:space="preserve"> REF _Ref514099531 \r \h </w:instrText>
      </w:r>
      <w:r w:rsidR="00953D4A">
        <w:rPr>
          <w:sz w:val="22"/>
          <w:szCs w:val="22"/>
          <w:lang w:val="en-CA"/>
        </w:rPr>
      </w:r>
      <w:r w:rsidR="00953D4A">
        <w:rPr>
          <w:sz w:val="22"/>
          <w:szCs w:val="22"/>
          <w:lang w:val="en-CA"/>
        </w:rPr>
        <w:fldChar w:fldCharType="separate"/>
      </w:r>
      <w:r w:rsidR="00953D4A">
        <w:rPr>
          <w:sz w:val="22"/>
          <w:szCs w:val="22"/>
          <w:lang w:val="en-CA"/>
        </w:rPr>
        <w:t>[1]</w:t>
      </w:r>
      <w:r w:rsidR="00953D4A">
        <w:rPr>
          <w:sz w:val="22"/>
          <w:szCs w:val="22"/>
          <w:lang w:val="en-CA"/>
        </w:rPr>
        <w:fldChar w:fldCharType="end"/>
      </w:r>
      <w:r w:rsidR="00953D4A">
        <w:rPr>
          <w:sz w:val="22"/>
          <w:szCs w:val="22"/>
          <w:lang w:val="en-CA"/>
        </w:rPr>
        <w:t>, the SCell activation time is crucial for the system performance, since if it is too long, both system throughput and end-user throughput will be impacted. If choosing between having a more accurate initial CQI, or having the CQI reported earlier, the latter is to prefer as it brings benefits both for the system and the end-user.</w:t>
      </w:r>
    </w:p>
    <w:p w14:paraId="45FB7889" w14:textId="1A0826A3" w:rsidR="00253573" w:rsidRDefault="00953D4A" w:rsidP="000C6065">
      <w:pPr>
        <w:jc w:val="both"/>
        <w:rPr>
          <w:sz w:val="22"/>
          <w:szCs w:val="22"/>
          <w:lang w:val="en-CA"/>
        </w:rPr>
      </w:pPr>
      <w:r>
        <w:rPr>
          <w:b/>
          <w:sz w:val="22"/>
          <w:szCs w:val="22"/>
          <w:lang w:val="en-CA"/>
        </w:rPr>
        <w:t>Proposal 1:</w:t>
      </w:r>
      <w:r>
        <w:rPr>
          <w:sz w:val="22"/>
          <w:szCs w:val="22"/>
          <w:lang w:val="en-CA"/>
        </w:rPr>
        <w:t xml:space="preserve"> The importance of </w:t>
      </w:r>
      <w:r w:rsidR="00162C74">
        <w:rPr>
          <w:sz w:val="22"/>
          <w:szCs w:val="22"/>
          <w:lang w:val="en-CA"/>
        </w:rPr>
        <w:t xml:space="preserve">early </w:t>
      </w:r>
      <w:r>
        <w:rPr>
          <w:sz w:val="22"/>
          <w:szCs w:val="22"/>
          <w:lang w:val="en-CA"/>
        </w:rPr>
        <w:t xml:space="preserve">reporting </w:t>
      </w:r>
      <w:r w:rsidR="00162C74">
        <w:rPr>
          <w:sz w:val="22"/>
          <w:szCs w:val="22"/>
          <w:lang w:val="en-CA"/>
        </w:rPr>
        <w:t xml:space="preserve">of </w:t>
      </w:r>
      <w:r>
        <w:rPr>
          <w:sz w:val="22"/>
          <w:szCs w:val="22"/>
          <w:lang w:val="en-CA"/>
        </w:rPr>
        <w:t>the first non-zero CQ</w:t>
      </w:r>
      <w:r w:rsidR="00162C74">
        <w:rPr>
          <w:sz w:val="22"/>
          <w:szCs w:val="22"/>
          <w:lang w:val="en-CA"/>
        </w:rPr>
        <w:t xml:space="preserve">I </w:t>
      </w:r>
      <w:r>
        <w:rPr>
          <w:sz w:val="22"/>
          <w:szCs w:val="22"/>
          <w:lang w:val="en-CA"/>
        </w:rPr>
        <w:t>(</w:t>
      </w:r>
      <w:r w:rsidR="00162C74">
        <w:rPr>
          <w:sz w:val="22"/>
          <w:szCs w:val="22"/>
          <w:lang w:val="en-CA"/>
        </w:rPr>
        <w:t>potentially with a slight inaccuracy) shall be taken into account in the SCell activation time specification work.</w:t>
      </w:r>
      <w:r>
        <w:rPr>
          <w:sz w:val="22"/>
          <w:szCs w:val="22"/>
          <w:lang w:val="en-CA"/>
        </w:rPr>
        <w:t xml:space="preserve"> </w:t>
      </w:r>
    </w:p>
    <w:p w14:paraId="0E33708A" w14:textId="75506ACF" w:rsidR="005A345C" w:rsidRDefault="00990154" w:rsidP="00990154">
      <w:pPr>
        <w:pStyle w:val="Heading1"/>
        <w:rPr>
          <w:lang w:val="en-CA"/>
        </w:rPr>
      </w:pPr>
      <w:r>
        <w:rPr>
          <w:lang w:val="en-CA"/>
        </w:rPr>
        <w:t>Summary</w:t>
      </w:r>
      <w:r w:rsidR="0050366D">
        <w:rPr>
          <w:lang w:val="en-CA"/>
        </w:rPr>
        <w:t xml:space="preserve"> and Conclusions</w:t>
      </w:r>
    </w:p>
    <w:p w14:paraId="28653325" w14:textId="15394C3C" w:rsidR="00AF5DCA" w:rsidRDefault="002E28A7" w:rsidP="00AF5DCA">
      <w:pPr>
        <w:jc w:val="both"/>
        <w:rPr>
          <w:sz w:val="22"/>
          <w:szCs w:val="22"/>
          <w:lang w:val="en-CA"/>
        </w:rPr>
      </w:pPr>
      <w:r>
        <w:rPr>
          <w:sz w:val="22"/>
          <w:szCs w:val="22"/>
          <w:lang w:val="en-CA"/>
        </w:rPr>
        <w:t xml:space="preserve">In this contribution we have </w:t>
      </w:r>
      <w:r w:rsidR="00162C74">
        <w:rPr>
          <w:sz w:val="22"/>
          <w:szCs w:val="22"/>
          <w:lang w:val="en-CA"/>
        </w:rPr>
        <w:t>discussed how the gNB is using the CQI reports from the UE, and make the following proposal:</w:t>
      </w:r>
    </w:p>
    <w:p w14:paraId="5B18B457" w14:textId="77777777" w:rsidR="00162C74" w:rsidRDefault="00162C74" w:rsidP="00162C74">
      <w:pPr>
        <w:jc w:val="both"/>
        <w:rPr>
          <w:sz w:val="22"/>
          <w:szCs w:val="22"/>
          <w:lang w:val="en-CA"/>
        </w:rPr>
      </w:pPr>
      <w:r>
        <w:rPr>
          <w:b/>
          <w:sz w:val="22"/>
          <w:szCs w:val="22"/>
          <w:lang w:val="en-CA"/>
        </w:rPr>
        <w:t>Proposal 1:</w:t>
      </w:r>
      <w:r>
        <w:rPr>
          <w:sz w:val="22"/>
          <w:szCs w:val="22"/>
          <w:lang w:val="en-CA"/>
        </w:rPr>
        <w:t xml:space="preserve"> The importance of early reporting of the first non-zero CQI (potentially with a slight inaccuracy) shall be taken into account in the SCell activation time specification work. </w:t>
      </w:r>
    </w:p>
    <w:p w14:paraId="3200BCE9" w14:textId="0149E52C" w:rsidR="007E539F" w:rsidRPr="007E539F" w:rsidRDefault="00D80957" w:rsidP="007E539F">
      <w:pPr>
        <w:pStyle w:val="Heading1"/>
        <w:pBdr>
          <w:top w:val="single" w:sz="12" w:space="2" w:color="auto"/>
        </w:pBdr>
        <w:rPr>
          <w:sz w:val="32"/>
          <w:lang w:val="en-CA"/>
        </w:rPr>
      </w:pPr>
      <w:r w:rsidRPr="00457F73">
        <w:rPr>
          <w:sz w:val="32"/>
          <w:lang w:val="en-CA"/>
        </w:rPr>
        <w:t>References</w:t>
      </w:r>
      <w:bookmarkStart w:id="4" w:name="_Ref514053230"/>
      <w:bookmarkStart w:id="5" w:name="_Ref510727568"/>
      <w:bookmarkStart w:id="6" w:name="_Ref498420781"/>
      <w:bookmarkStart w:id="7" w:name="_Ref485387765"/>
      <w:bookmarkStart w:id="8" w:name="_Ref481738953"/>
      <w:bookmarkEnd w:id="2"/>
      <w:bookmarkEnd w:id="3"/>
    </w:p>
    <w:p w14:paraId="5F3477FE" w14:textId="756D2A94" w:rsidR="00126B5F" w:rsidRPr="00162C74" w:rsidRDefault="00CA5A21" w:rsidP="00162C74">
      <w:pPr>
        <w:numPr>
          <w:ilvl w:val="0"/>
          <w:numId w:val="9"/>
        </w:numPr>
        <w:tabs>
          <w:tab w:val="left" w:pos="851"/>
        </w:tabs>
        <w:rPr>
          <w:rFonts w:ascii="Arial" w:hAnsi="Arial" w:cs="Arial"/>
          <w:sz w:val="22"/>
          <w:szCs w:val="22"/>
          <w:lang w:val="en-CA"/>
        </w:rPr>
      </w:pPr>
      <w:bookmarkStart w:id="9" w:name="_Ref514099531"/>
      <w:r>
        <w:rPr>
          <w:rFonts w:ascii="Arial" w:hAnsi="Arial" w:cs="Arial"/>
          <w:sz w:val="22"/>
          <w:szCs w:val="22"/>
          <w:lang w:val="en-CA"/>
        </w:rPr>
        <w:t>R4-1807402 “</w:t>
      </w:r>
      <w:r w:rsidRPr="00CA5A21">
        <w:rPr>
          <w:rFonts w:ascii="Arial" w:hAnsi="Arial" w:cs="Arial"/>
          <w:sz w:val="22"/>
          <w:szCs w:val="22"/>
          <w:lang w:val="en-CA"/>
        </w:rPr>
        <w:t>On AGC for activation of known SCell</w:t>
      </w:r>
      <w:r>
        <w:rPr>
          <w:rFonts w:ascii="Arial" w:hAnsi="Arial" w:cs="Arial"/>
          <w:sz w:val="22"/>
          <w:szCs w:val="22"/>
          <w:lang w:val="en-CA"/>
        </w:rPr>
        <w:t>”, Ericsson</w:t>
      </w:r>
      <w:bookmarkEnd w:id="4"/>
      <w:bookmarkEnd w:id="5"/>
      <w:bookmarkEnd w:id="6"/>
      <w:bookmarkEnd w:id="7"/>
      <w:bookmarkEnd w:id="8"/>
      <w:bookmarkEnd w:id="9"/>
    </w:p>
    <w:sectPr w:rsidR="00126B5F" w:rsidRPr="00162C74"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B6F07" w14:textId="77777777" w:rsidR="00CA2B38" w:rsidRDefault="00CA2B38">
      <w:r>
        <w:separator/>
      </w:r>
    </w:p>
  </w:endnote>
  <w:endnote w:type="continuationSeparator" w:id="0">
    <w:p w14:paraId="24AE07A9" w14:textId="77777777" w:rsidR="00CA2B38" w:rsidRDefault="00CA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B7D5" w14:textId="77777777" w:rsidR="00953D4A" w:rsidRDefault="00953D4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D81609" w14:textId="77777777" w:rsidR="00953D4A" w:rsidRDefault="00953D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57066" w14:textId="233CFF83" w:rsidR="00953D4A" w:rsidRDefault="00953D4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38EE">
      <w:rPr>
        <w:rStyle w:val="PageNumber"/>
        <w:noProof/>
      </w:rPr>
      <w:t>1</w:t>
    </w:r>
    <w:r>
      <w:rPr>
        <w:rStyle w:val="PageNumber"/>
      </w:rPr>
      <w:fldChar w:fldCharType="end"/>
    </w:r>
  </w:p>
  <w:p w14:paraId="2CE5DAB0" w14:textId="77777777" w:rsidR="00953D4A" w:rsidRDefault="00953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1D08" w14:textId="77777777" w:rsidR="00953D4A" w:rsidRDefault="00953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903FD" w14:textId="77777777" w:rsidR="00CA2B38" w:rsidRDefault="00CA2B38">
      <w:r>
        <w:separator/>
      </w:r>
    </w:p>
  </w:footnote>
  <w:footnote w:type="continuationSeparator" w:id="0">
    <w:p w14:paraId="7CA0FF46" w14:textId="77777777" w:rsidR="00CA2B38" w:rsidRDefault="00CA2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B7DA1" w14:textId="77777777" w:rsidR="00953D4A" w:rsidRDefault="00953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55C" w14:textId="77777777" w:rsidR="00953D4A" w:rsidRDefault="00953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0384D" w14:textId="77777777" w:rsidR="00953D4A" w:rsidRDefault="00953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80007"/>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14E677F0"/>
    <w:multiLevelType w:val="hybridMultilevel"/>
    <w:tmpl w:val="F274CC52"/>
    <w:lvl w:ilvl="0" w:tplc="4614F3F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DD2AD1"/>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B3A2B6C"/>
    <w:multiLevelType w:val="hybridMultilevel"/>
    <w:tmpl w:val="8DAEF1E2"/>
    <w:lvl w:ilvl="0" w:tplc="259E95B4">
      <w:start w:val="1"/>
      <w:numFmt w:val="decimal"/>
      <w:lvlText w:val="%1."/>
      <w:lvlJc w:val="left"/>
      <w:pPr>
        <w:ind w:left="360" w:hanging="360"/>
      </w:pPr>
      <w:rPr>
        <w:rFonts w:ascii="Arial" w:hAnsi="Arial" w:cs="Aria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D08248B"/>
    <w:multiLevelType w:val="hybridMultilevel"/>
    <w:tmpl w:val="20303258"/>
    <w:lvl w:ilvl="0" w:tplc="C9D45CF4">
      <w:start w:val="1"/>
      <w:numFmt w:val="bullet"/>
      <w:lvlText w:val="•"/>
      <w:lvlJc w:val="left"/>
      <w:pPr>
        <w:tabs>
          <w:tab w:val="num" w:pos="720"/>
        </w:tabs>
        <w:ind w:left="720" w:hanging="360"/>
      </w:pPr>
      <w:rPr>
        <w:rFonts w:ascii="Arial" w:hAnsi="Arial" w:hint="default"/>
      </w:rPr>
    </w:lvl>
    <w:lvl w:ilvl="1" w:tplc="7EC4BD22">
      <w:start w:val="52"/>
      <w:numFmt w:val="bullet"/>
      <w:lvlText w:val="•"/>
      <w:lvlJc w:val="left"/>
      <w:pPr>
        <w:tabs>
          <w:tab w:val="num" w:pos="1440"/>
        </w:tabs>
        <w:ind w:left="1440" w:hanging="360"/>
      </w:pPr>
      <w:rPr>
        <w:rFonts w:ascii="Arial" w:hAnsi="Arial" w:hint="default"/>
      </w:rPr>
    </w:lvl>
    <w:lvl w:ilvl="2" w:tplc="577A4C64">
      <w:start w:val="52"/>
      <w:numFmt w:val="bullet"/>
      <w:lvlText w:val="•"/>
      <w:lvlJc w:val="left"/>
      <w:pPr>
        <w:tabs>
          <w:tab w:val="num" w:pos="2160"/>
        </w:tabs>
        <w:ind w:left="2160" w:hanging="360"/>
      </w:pPr>
      <w:rPr>
        <w:rFonts w:ascii="Arial" w:hAnsi="Arial" w:hint="default"/>
      </w:rPr>
    </w:lvl>
    <w:lvl w:ilvl="3" w:tplc="F5624426">
      <w:start w:val="52"/>
      <w:numFmt w:val="bullet"/>
      <w:lvlText w:val="•"/>
      <w:lvlJc w:val="left"/>
      <w:pPr>
        <w:tabs>
          <w:tab w:val="num" w:pos="2880"/>
        </w:tabs>
        <w:ind w:left="2880" w:hanging="360"/>
      </w:pPr>
      <w:rPr>
        <w:rFonts w:ascii="Arial" w:hAnsi="Arial" w:hint="default"/>
      </w:rPr>
    </w:lvl>
    <w:lvl w:ilvl="4" w:tplc="D174F0EE" w:tentative="1">
      <w:start w:val="1"/>
      <w:numFmt w:val="bullet"/>
      <w:lvlText w:val="•"/>
      <w:lvlJc w:val="left"/>
      <w:pPr>
        <w:tabs>
          <w:tab w:val="num" w:pos="3600"/>
        </w:tabs>
        <w:ind w:left="3600" w:hanging="360"/>
      </w:pPr>
      <w:rPr>
        <w:rFonts w:ascii="Arial" w:hAnsi="Arial" w:hint="default"/>
      </w:rPr>
    </w:lvl>
    <w:lvl w:ilvl="5" w:tplc="94642884" w:tentative="1">
      <w:start w:val="1"/>
      <w:numFmt w:val="bullet"/>
      <w:lvlText w:val="•"/>
      <w:lvlJc w:val="left"/>
      <w:pPr>
        <w:tabs>
          <w:tab w:val="num" w:pos="4320"/>
        </w:tabs>
        <w:ind w:left="4320" w:hanging="360"/>
      </w:pPr>
      <w:rPr>
        <w:rFonts w:ascii="Arial" w:hAnsi="Arial" w:hint="default"/>
      </w:rPr>
    </w:lvl>
    <w:lvl w:ilvl="6" w:tplc="9C68EB42" w:tentative="1">
      <w:start w:val="1"/>
      <w:numFmt w:val="bullet"/>
      <w:lvlText w:val="•"/>
      <w:lvlJc w:val="left"/>
      <w:pPr>
        <w:tabs>
          <w:tab w:val="num" w:pos="5040"/>
        </w:tabs>
        <w:ind w:left="5040" w:hanging="360"/>
      </w:pPr>
      <w:rPr>
        <w:rFonts w:ascii="Arial" w:hAnsi="Arial" w:hint="default"/>
      </w:rPr>
    </w:lvl>
    <w:lvl w:ilvl="7" w:tplc="DE528C6A" w:tentative="1">
      <w:start w:val="1"/>
      <w:numFmt w:val="bullet"/>
      <w:lvlText w:val="•"/>
      <w:lvlJc w:val="left"/>
      <w:pPr>
        <w:tabs>
          <w:tab w:val="num" w:pos="5760"/>
        </w:tabs>
        <w:ind w:left="5760" w:hanging="360"/>
      </w:pPr>
      <w:rPr>
        <w:rFonts w:ascii="Arial" w:hAnsi="Arial" w:hint="default"/>
      </w:rPr>
    </w:lvl>
    <w:lvl w:ilvl="8" w:tplc="552C0B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4A0C07"/>
    <w:multiLevelType w:val="hybridMultilevel"/>
    <w:tmpl w:val="EF10D65C"/>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0"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E12C1"/>
    <w:multiLevelType w:val="hybridMultilevel"/>
    <w:tmpl w:val="56043F46"/>
    <w:lvl w:ilvl="0" w:tplc="4614F3F8">
      <w:start w:val="1"/>
      <w:numFmt w:val="bullet"/>
      <w:lvlText w:val=""/>
      <w:lvlJc w:val="left"/>
      <w:pPr>
        <w:ind w:left="720" w:hanging="360"/>
      </w:pPr>
      <w:rPr>
        <w:rFonts w:ascii="Symbol" w:hAnsi="Symbol" w:hint="default"/>
        <w:color w:val="auto"/>
      </w:rPr>
    </w:lvl>
    <w:lvl w:ilvl="1" w:tplc="4614F3F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1B0426"/>
    <w:multiLevelType w:val="hybridMultilevel"/>
    <w:tmpl w:val="9F2278B2"/>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32B1235"/>
    <w:multiLevelType w:val="hybridMultilevel"/>
    <w:tmpl w:val="6ED2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574B5"/>
    <w:multiLevelType w:val="hybridMultilevel"/>
    <w:tmpl w:val="4116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B139D7"/>
    <w:multiLevelType w:val="hybridMultilevel"/>
    <w:tmpl w:val="7C00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43"/>
  </w:num>
  <w:num w:numId="3">
    <w:abstractNumId w:val="39"/>
  </w:num>
  <w:num w:numId="4">
    <w:abstractNumId w:val="21"/>
  </w:num>
  <w:num w:numId="5">
    <w:abstractNumId w:val="23"/>
  </w:num>
  <w:num w:numId="6">
    <w:abstractNumId w:val="1"/>
  </w:num>
  <w:num w:numId="7">
    <w:abstractNumId w:val="0"/>
  </w:num>
  <w:num w:numId="8">
    <w:abstractNumId w:val="45"/>
  </w:num>
  <w:num w:numId="9">
    <w:abstractNumId w:val="35"/>
  </w:num>
  <w:num w:numId="10">
    <w:abstractNumId w:val="28"/>
  </w:num>
  <w:num w:numId="11">
    <w:abstractNumId w:val="20"/>
  </w:num>
  <w:num w:numId="12">
    <w:abstractNumId w:val="17"/>
  </w:num>
  <w:num w:numId="13">
    <w:abstractNumId w:val="26"/>
  </w:num>
  <w:num w:numId="14">
    <w:abstractNumId w:val="38"/>
  </w:num>
  <w:num w:numId="15">
    <w:abstractNumId w:val="3"/>
  </w:num>
  <w:num w:numId="16">
    <w:abstractNumId w:val="27"/>
  </w:num>
  <w:num w:numId="17">
    <w:abstractNumId w:val="12"/>
  </w:num>
  <w:num w:numId="18">
    <w:abstractNumId w:val="7"/>
  </w:num>
  <w:num w:numId="19">
    <w:abstractNumId w:val="18"/>
  </w:num>
  <w:num w:numId="20">
    <w:abstractNumId w:val="24"/>
  </w:num>
  <w:num w:numId="21">
    <w:abstractNumId w:val="31"/>
  </w:num>
  <w:num w:numId="22">
    <w:abstractNumId w:val="14"/>
  </w:num>
  <w:num w:numId="23">
    <w:abstractNumId w:val="6"/>
  </w:num>
  <w:num w:numId="24">
    <w:abstractNumId w:val="25"/>
  </w:num>
  <w:num w:numId="25">
    <w:abstractNumId w:val="44"/>
  </w:num>
  <w:num w:numId="26">
    <w:abstractNumId w:val="19"/>
  </w:num>
  <w:num w:numId="27">
    <w:abstractNumId w:val="37"/>
  </w:num>
  <w:num w:numId="28">
    <w:abstractNumId w:val="15"/>
  </w:num>
  <w:num w:numId="29">
    <w:abstractNumId w:val="16"/>
  </w:num>
  <w:num w:numId="30">
    <w:abstractNumId w:val="30"/>
  </w:num>
  <w:num w:numId="31">
    <w:abstractNumId w:val="8"/>
  </w:num>
  <w:num w:numId="32">
    <w:abstractNumId w:val="33"/>
  </w:num>
  <w:num w:numId="33">
    <w:abstractNumId w:val="5"/>
  </w:num>
  <w:num w:numId="34">
    <w:abstractNumId w:val="9"/>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40"/>
  </w:num>
  <w:num w:numId="38">
    <w:abstractNumId w:val="4"/>
  </w:num>
  <w:num w:numId="39">
    <w:abstractNumId w:val="41"/>
  </w:num>
  <w:num w:numId="40">
    <w:abstractNumId w:val="11"/>
  </w:num>
  <w:num w:numId="41">
    <w:abstractNumId w:val="42"/>
  </w:num>
  <w:num w:numId="42">
    <w:abstractNumId w:val="32"/>
  </w:num>
  <w:num w:numId="43">
    <w:abstractNumId w:val="34"/>
  </w:num>
  <w:num w:numId="44">
    <w:abstractNumId w:val="10"/>
  </w:num>
  <w:num w:numId="45">
    <w:abstractNumId w:val="29"/>
  </w:num>
  <w:num w:numId="46">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1F9"/>
    <w:rsid w:val="00014C5F"/>
    <w:rsid w:val="00015258"/>
    <w:rsid w:val="000155C6"/>
    <w:rsid w:val="0001579B"/>
    <w:rsid w:val="0001686B"/>
    <w:rsid w:val="00016CEE"/>
    <w:rsid w:val="00017E83"/>
    <w:rsid w:val="00017F08"/>
    <w:rsid w:val="00021195"/>
    <w:rsid w:val="00021FA1"/>
    <w:rsid w:val="00022E4A"/>
    <w:rsid w:val="00023187"/>
    <w:rsid w:val="000231A9"/>
    <w:rsid w:val="00023D9A"/>
    <w:rsid w:val="000244C3"/>
    <w:rsid w:val="0002466E"/>
    <w:rsid w:val="00024AF4"/>
    <w:rsid w:val="00024CBB"/>
    <w:rsid w:val="00025EB1"/>
    <w:rsid w:val="00026106"/>
    <w:rsid w:val="000270F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50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7E7"/>
    <w:rsid w:val="000648E1"/>
    <w:rsid w:val="00064959"/>
    <w:rsid w:val="00064C41"/>
    <w:rsid w:val="00064EFD"/>
    <w:rsid w:val="00066AC3"/>
    <w:rsid w:val="00066D93"/>
    <w:rsid w:val="00067405"/>
    <w:rsid w:val="000675E8"/>
    <w:rsid w:val="00070911"/>
    <w:rsid w:val="00070B4E"/>
    <w:rsid w:val="0007105D"/>
    <w:rsid w:val="00071066"/>
    <w:rsid w:val="00071FE2"/>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1DF8"/>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065"/>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1FBE"/>
    <w:rsid w:val="000F292E"/>
    <w:rsid w:val="000F2CFC"/>
    <w:rsid w:val="000F2D9C"/>
    <w:rsid w:val="000F2FB7"/>
    <w:rsid w:val="000F3191"/>
    <w:rsid w:val="000F36C3"/>
    <w:rsid w:val="000F37A5"/>
    <w:rsid w:val="000F454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15C5"/>
    <w:rsid w:val="00121E60"/>
    <w:rsid w:val="001227F7"/>
    <w:rsid w:val="00123A2E"/>
    <w:rsid w:val="001243FE"/>
    <w:rsid w:val="00124441"/>
    <w:rsid w:val="00126B5F"/>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2C74"/>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4830"/>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502"/>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071"/>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1F4"/>
    <w:rsid w:val="0023428F"/>
    <w:rsid w:val="00234898"/>
    <w:rsid w:val="00234CF8"/>
    <w:rsid w:val="00235165"/>
    <w:rsid w:val="002356BB"/>
    <w:rsid w:val="00235F3E"/>
    <w:rsid w:val="00236927"/>
    <w:rsid w:val="00236FB3"/>
    <w:rsid w:val="00237414"/>
    <w:rsid w:val="00237DF9"/>
    <w:rsid w:val="00237E80"/>
    <w:rsid w:val="00240BB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573"/>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725"/>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003F"/>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8A7"/>
    <w:rsid w:val="002E2F57"/>
    <w:rsid w:val="002E2FB1"/>
    <w:rsid w:val="002E3305"/>
    <w:rsid w:val="002E38EE"/>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2F7E44"/>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578F2"/>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282C"/>
    <w:rsid w:val="003D30C7"/>
    <w:rsid w:val="003D38D0"/>
    <w:rsid w:val="003D3DE8"/>
    <w:rsid w:val="003D43E9"/>
    <w:rsid w:val="003D4740"/>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0BC3"/>
    <w:rsid w:val="003F1271"/>
    <w:rsid w:val="003F20F8"/>
    <w:rsid w:val="003F45B5"/>
    <w:rsid w:val="003F4F61"/>
    <w:rsid w:val="003F4F9B"/>
    <w:rsid w:val="003F5686"/>
    <w:rsid w:val="003F67F4"/>
    <w:rsid w:val="003F7B15"/>
    <w:rsid w:val="00400196"/>
    <w:rsid w:val="004012EA"/>
    <w:rsid w:val="004027F4"/>
    <w:rsid w:val="004033EA"/>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E02"/>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0F41"/>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17C40"/>
    <w:rsid w:val="00522DC6"/>
    <w:rsid w:val="00523090"/>
    <w:rsid w:val="005237D3"/>
    <w:rsid w:val="00523F47"/>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01A"/>
    <w:rsid w:val="0054501B"/>
    <w:rsid w:val="005451E2"/>
    <w:rsid w:val="00545F87"/>
    <w:rsid w:val="00546795"/>
    <w:rsid w:val="005501BD"/>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72D"/>
    <w:rsid w:val="005A0810"/>
    <w:rsid w:val="005A11DB"/>
    <w:rsid w:val="005A14AA"/>
    <w:rsid w:val="005A2335"/>
    <w:rsid w:val="005A2934"/>
    <w:rsid w:val="005A2A7C"/>
    <w:rsid w:val="005A3227"/>
    <w:rsid w:val="005A345C"/>
    <w:rsid w:val="005A34D5"/>
    <w:rsid w:val="005A3681"/>
    <w:rsid w:val="005A389C"/>
    <w:rsid w:val="005A38F7"/>
    <w:rsid w:val="005A39FC"/>
    <w:rsid w:val="005A411E"/>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4D36"/>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2C7"/>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77607"/>
    <w:rsid w:val="006812C4"/>
    <w:rsid w:val="00681379"/>
    <w:rsid w:val="00681916"/>
    <w:rsid w:val="0068214F"/>
    <w:rsid w:val="00682840"/>
    <w:rsid w:val="00683942"/>
    <w:rsid w:val="00684088"/>
    <w:rsid w:val="00684247"/>
    <w:rsid w:val="00684D41"/>
    <w:rsid w:val="00685605"/>
    <w:rsid w:val="0068748F"/>
    <w:rsid w:val="006878D8"/>
    <w:rsid w:val="00687FDC"/>
    <w:rsid w:val="00690AA3"/>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0770"/>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43D"/>
    <w:rsid w:val="006C588E"/>
    <w:rsid w:val="006C63A6"/>
    <w:rsid w:val="006C6622"/>
    <w:rsid w:val="006C6ABD"/>
    <w:rsid w:val="006C796C"/>
    <w:rsid w:val="006C7B68"/>
    <w:rsid w:val="006D00B2"/>
    <w:rsid w:val="006D12E6"/>
    <w:rsid w:val="006D1A11"/>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4B74"/>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69B"/>
    <w:rsid w:val="007458D8"/>
    <w:rsid w:val="007464AA"/>
    <w:rsid w:val="007465C3"/>
    <w:rsid w:val="00746FDC"/>
    <w:rsid w:val="00747298"/>
    <w:rsid w:val="0074732E"/>
    <w:rsid w:val="00747BF7"/>
    <w:rsid w:val="00750B83"/>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03A"/>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191"/>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39F"/>
    <w:rsid w:val="007E5469"/>
    <w:rsid w:val="007E5F4B"/>
    <w:rsid w:val="007E78D9"/>
    <w:rsid w:val="007F08F9"/>
    <w:rsid w:val="007F12C4"/>
    <w:rsid w:val="007F162B"/>
    <w:rsid w:val="007F1DE7"/>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2CB3"/>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40B"/>
    <w:rsid w:val="008B251A"/>
    <w:rsid w:val="008B3894"/>
    <w:rsid w:val="008B3C06"/>
    <w:rsid w:val="008B4922"/>
    <w:rsid w:val="008B511F"/>
    <w:rsid w:val="008B6407"/>
    <w:rsid w:val="008B68FB"/>
    <w:rsid w:val="008B6D0E"/>
    <w:rsid w:val="008C2112"/>
    <w:rsid w:val="008C2904"/>
    <w:rsid w:val="008C3173"/>
    <w:rsid w:val="008C3A68"/>
    <w:rsid w:val="008C3D59"/>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6C1"/>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D4A"/>
    <w:rsid w:val="00953F29"/>
    <w:rsid w:val="00954A4D"/>
    <w:rsid w:val="009563A3"/>
    <w:rsid w:val="00956630"/>
    <w:rsid w:val="009568BB"/>
    <w:rsid w:val="00957C78"/>
    <w:rsid w:val="00960C1A"/>
    <w:rsid w:val="00960F73"/>
    <w:rsid w:val="009611B8"/>
    <w:rsid w:val="0096196E"/>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4BFF"/>
    <w:rsid w:val="0098538E"/>
    <w:rsid w:val="00985B49"/>
    <w:rsid w:val="00985D81"/>
    <w:rsid w:val="0098647B"/>
    <w:rsid w:val="0098710A"/>
    <w:rsid w:val="009875DC"/>
    <w:rsid w:val="009877A1"/>
    <w:rsid w:val="00990154"/>
    <w:rsid w:val="00990417"/>
    <w:rsid w:val="00990C04"/>
    <w:rsid w:val="00990DEE"/>
    <w:rsid w:val="00991775"/>
    <w:rsid w:val="00991DF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142"/>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37E31"/>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AA"/>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5DCA"/>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218E"/>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467"/>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5D6"/>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9C8"/>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0C70"/>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1B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5F7"/>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B38"/>
    <w:rsid w:val="00CA2E1D"/>
    <w:rsid w:val="00CA398E"/>
    <w:rsid w:val="00CA42E3"/>
    <w:rsid w:val="00CA562B"/>
    <w:rsid w:val="00CA5A21"/>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5DDC"/>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485"/>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59D3"/>
    <w:rsid w:val="00D76340"/>
    <w:rsid w:val="00D77351"/>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5F6B"/>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317"/>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374"/>
    <w:rsid w:val="00DF7681"/>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42"/>
    <w:rsid w:val="00E302EB"/>
    <w:rsid w:val="00E304B3"/>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271"/>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C59"/>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DE3"/>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768"/>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47C6"/>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2AA"/>
    <w:rsid w:val="00F45882"/>
    <w:rsid w:val="00F45898"/>
    <w:rsid w:val="00F469DC"/>
    <w:rsid w:val="00F474F9"/>
    <w:rsid w:val="00F47561"/>
    <w:rsid w:val="00F47785"/>
    <w:rsid w:val="00F47E44"/>
    <w:rsid w:val="00F504D0"/>
    <w:rsid w:val="00F50F02"/>
    <w:rsid w:val="00F51BEC"/>
    <w:rsid w:val="00F5202D"/>
    <w:rsid w:val="00F522FF"/>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E70"/>
    <w:rsid w:val="00F83E01"/>
    <w:rsid w:val="00F84046"/>
    <w:rsid w:val="00F84210"/>
    <w:rsid w:val="00F84BBE"/>
    <w:rsid w:val="00F854F0"/>
    <w:rsid w:val="00F8622B"/>
    <w:rsid w:val="00F865E8"/>
    <w:rsid w:val="00F9052F"/>
    <w:rsid w:val="00F90C75"/>
    <w:rsid w:val="00F91001"/>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AC6"/>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183"/>
    <w:rsid w:val="00FC386C"/>
    <w:rsid w:val="00FC3BA5"/>
    <w:rsid w:val="00FC3C01"/>
    <w:rsid w:val="00FC3D31"/>
    <w:rsid w:val="00FC4814"/>
    <w:rsid w:val="00FC4D53"/>
    <w:rsid w:val="00FC4EBA"/>
    <w:rsid w:val="00FC4F4B"/>
    <w:rsid w:val="00FC55A9"/>
    <w:rsid w:val="00FC55BA"/>
    <w:rsid w:val="00FC5D65"/>
    <w:rsid w:val="00FC6878"/>
    <w:rsid w:val="00FC790C"/>
    <w:rsid w:val="00FD10E6"/>
    <w:rsid w:val="00FD15BB"/>
    <w:rsid w:val="00FD18C8"/>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51"/>
    <w:rsid w:val="00FF28B3"/>
    <w:rsid w:val="00FF39F7"/>
    <w:rsid w:val="00FF4A71"/>
    <w:rsid w:val="00FF4EBA"/>
    <w:rsid w:val="00FF50BC"/>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0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11467252">
      <w:bodyDiv w:val="1"/>
      <w:marLeft w:val="0"/>
      <w:marRight w:val="0"/>
      <w:marTop w:val="0"/>
      <w:marBottom w:val="0"/>
      <w:divBdr>
        <w:top w:val="none" w:sz="0" w:space="0" w:color="auto"/>
        <w:left w:val="none" w:sz="0" w:space="0" w:color="auto"/>
        <w:bottom w:val="none" w:sz="0" w:space="0" w:color="auto"/>
        <w:right w:val="none" w:sz="0" w:space="0" w:color="auto"/>
      </w:divBdr>
    </w:div>
    <w:div w:id="786971253">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142115952">
      <w:bodyDiv w:val="1"/>
      <w:marLeft w:val="0"/>
      <w:marRight w:val="0"/>
      <w:marTop w:val="0"/>
      <w:marBottom w:val="0"/>
      <w:divBdr>
        <w:top w:val="none" w:sz="0" w:space="0" w:color="auto"/>
        <w:left w:val="none" w:sz="0" w:space="0" w:color="auto"/>
        <w:bottom w:val="none" w:sz="0" w:space="0" w:color="auto"/>
        <w:right w:val="none" w:sz="0" w:space="0" w:color="auto"/>
      </w:divBdr>
      <w:divsChild>
        <w:div w:id="1120491121">
          <w:marLeft w:val="360"/>
          <w:marRight w:val="0"/>
          <w:marTop w:val="200"/>
          <w:marBottom w:val="0"/>
          <w:divBdr>
            <w:top w:val="none" w:sz="0" w:space="0" w:color="auto"/>
            <w:left w:val="none" w:sz="0" w:space="0" w:color="auto"/>
            <w:bottom w:val="none" w:sz="0" w:space="0" w:color="auto"/>
            <w:right w:val="none" w:sz="0" w:space="0" w:color="auto"/>
          </w:divBdr>
        </w:div>
        <w:div w:id="1568103083">
          <w:marLeft w:val="1080"/>
          <w:marRight w:val="0"/>
          <w:marTop w:val="100"/>
          <w:marBottom w:val="0"/>
          <w:divBdr>
            <w:top w:val="none" w:sz="0" w:space="0" w:color="auto"/>
            <w:left w:val="none" w:sz="0" w:space="0" w:color="auto"/>
            <w:bottom w:val="none" w:sz="0" w:space="0" w:color="auto"/>
            <w:right w:val="none" w:sz="0" w:space="0" w:color="auto"/>
          </w:divBdr>
        </w:div>
        <w:div w:id="1934825353">
          <w:marLeft w:val="360"/>
          <w:marRight w:val="0"/>
          <w:marTop w:val="200"/>
          <w:marBottom w:val="0"/>
          <w:divBdr>
            <w:top w:val="none" w:sz="0" w:space="0" w:color="auto"/>
            <w:left w:val="none" w:sz="0" w:space="0" w:color="auto"/>
            <w:bottom w:val="none" w:sz="0" w:space="0" w:color="auto"/>
            <w:right w:val="none" w:sz="0" w:space="0" w:color="auto"/>
          </w:divBdr>
        </w:div>
        <w:div w:id="1044211997">
          <w:marLeft w:val="1080"/>
          <w:marRight w:val="0"/>
          <w:marTop w:val="100"/>
          <w:marBottom w:val="0"/>
          <w:divBdr>
            <w:top w:val="none" w:sz="0" w:space="0" w:color="auto"/>
            <w:left w:val="none" w:sz="0" w:space="0" w:color="auto"/>
            <w:bottom w:val="none" w:sz="0" w:space="0" w:color="auto"/>
            <w:right w:val="none" w:sz="0" w:space="0" w:color="auto"/>
          </w:divBdr>
        </w:div>
        <w:div w:id="621619808">
          <w:marLeft w:val="1800"/>
          <w:marRight w:val="0"/>
          <w:marTop w:val="100"/>
          <w:marBottom w:val="0"/>
          <w:divBdr>
            <w:top w:val="none" w:sz="0" w:space="0" w:color="auto"/>
            <w:left w:val="none" w:sz="0" w:space="0" w:color="auto"/>
            <w:bottom w:val="none" w:sz="0" w:space="0" w:color="auto"/>
            <w:right w:val="none" w:sz="0" w:space="0" w:color="auto"/>
          </w:divBdr>
        </w:div>
        <w:div w:id="976911569">
          <w:marLeft w:val="1800"/>
          <w:marRight w:val="0"/>
          <w:marTop w:val="100"/>
          <w:marBottom w:val="0"/>
          <w:divBdr>
            <w:top w:val="none" w:sz="0" w:space="0" w:color="auto"/>
            <w:left w:val="none" w:sz="0" w:space="0" w:color="auto"/>
            <w:bottom w:val="none" w:sz="0" w:space="0" w:color="auto"/>
            <w:right w:val="none" w:sz="0" w:space="0" w:color="auto"/>
          </w:divBdr>
        </w:div>
        <w:div w:id="522940109">
          <w:marLeft w:val="1800"/>
          <w:marRight w:val="0"/>
          <w:marTop w:val="100"/>
          <w:marBottom w:val="0"/>
          <w:divBdr>
            <w:top w:val="none" w:sz="0" w:space="0" w:color="auto"/>
            <w:left w:val="none" w:sz="0" w:space="0" w:color="auto"/>
            <w:bottom w:val="none" w:sz="0" w:space="0" w:color="auto"/>
            <w:right w:val="none" w:sz="0" w:space="0" w:color="auto"/>
          </w:divBdr>
        </w:div>
        <w:div w:id="538321440">
          <w:marLeft w:val="2520"/>
          <w:marRight w:val="0"/>
          <w:marTop w:val="100"/>
          <w:marBottom w:val="0"/>
          <w:divBdr>
            <w:top w:val="none" w:sz="0" w:space="0" w:color="auto"/>
            <w:left w:val="none" w:sz="0" w:space="0" w:color="auto"/>
            <w:bottom w:val="none" w:sz="0" w:space="0" w:color="auto"/>
            <w:right w:val="none" w:sz="0" w:space="0" w:color="auto"/>
          </w:divBdr>
        </w:div>
        <w:div w:id="934289580">
          <w:marLeft w:val="2520"/>
          <w:marRight w:val="0"/>
          <w:marTop w:val="100"/>
          <w:marBottom w:val="0"/>
          <w:divBdr>
            <w:top w:val="none" w:sz="0" w:space="0" w:color="auto"/>
            <w:left w:val="none" w:sz="0" w:space="0" w:color="auto"/>
            <w:bottom w:val="none" w:sz="0" w:space="0" w:color="auto"/>
            <w:right w:val="none" w:sz="0" w:space="0" w:color="auto"/>
          </w:divBdr>
        </w:div>
        <w:div w:id="353576161">
          <w:marLeft w:val="1800"/>
          <w:marRight w:val="0"/>
          <w:marTop w:val="100"/>
          <w:marBottom w:val="0"/>
          <w:divBdr>
            <w:top w:val="none" w:sz="0" w:space="0" w:color="auto"/>
            <w:left w:val="none" w:sz="0" w:space="0" w:color="auto"/>
            <w:bottom w:val="none" w:sz="0" w:space="0" w:color="auto"/>
            <w:right w:val="none" w:sz="0" w:space="0" w:color="auto"/>
          </w:divBdr>
        </w:div>
        <w:div w:id="590746760">
          <w:marLeft w:val="2520"/>
          <w:marRight w:val="0"/>
          <w:marTop w:val="100"/>
          <w:marBottom w:val="0"/>
          <w:divBdr>
            <w:top w:val="none" w:sz="0" w:space="0" w:color="auto"/>
            <w:left w:val="none" w:sz="0" w:space="0" w:color="auto"/>
            <w:bottom w:val="none" w:sz="0" w:space="0" w:color="auto"/>
            <w:right w:val="none" w:sz="0" w:space="0" w:color="auto"/>
          </w:divBdr>
        </w:div>
        <w:div w:id="465509354">
          <w:marLeft w:val="2520"/>
          <w:marRight w:val="0"/>
          <w:marTop w:val="100"/>
          <w:marBottom w:val="0"/>
          <w:divBdr>
            <w:top w:val="none" w:sz="0" w:space="0" w:color="auto"/>
            <w:left w:val="none" w:sz="0" w:space="0" w:color="auto"/>
            <w:bottom w:val="none" w:sz="0" w:space="0" w:color="auto"/>
            <w:right w:val="none" w:sz="0" w:space="0" w:color="auto"/>
          </w:divBdr>
        </w:div>
        <w:div w:id="1747190189">
          <w:marLeft w:val="2520"/>
          <w:marRight w:val="0"/>
          <w:marTop w:val="100"/>
          <w:marBottom w:val="0"/>
          <w:divBdr>
            <w:top w:val="none" w:sz="0" w:space="0" w:color="auto"/>
            <w:left w:val="none" w:sz="0" w:space="0" w:color="auto"/>
            <w:bottom w:val="none" w:sz="0" w:space="0" w:color="auto"/>
            <w:right w:val="none" w:sz="0" w:space="0" w:color="auto"/>
          </w:divBdr>
        </w:div>
        <w:div w:id="1405251904">
          <w:marLeft w:val="360"/>
          <w:marRight w:val="0"/>
          <w:marTop w:val="200"/>
          <w:marBottom w:val="0"/>
          <w:divBdr>
            <w:top w:val="none" w:sz="0" w:space="0" w:color="auto"/>
            <w:left w:val="none" w:sz="0" w:space="0" w:color="auto"/>
            <w:bottom w:val="none" w:sz="0" w:space="0" w:color="auto"/>
            <w:right w:val="none" w:sz="0" w:space="0" w:color="auto"/>
          </w:divBdr>
        </w:div>
        <w:div w:id="897285628">
          <w:marLeft w:val="1080"/>
          <w:marRight w:val="0"/>
          <w:marTop w:val="100"/>
          <w:marBottom w:val="0"/>
          <w:divBdr>
            <w:top w:val="none" w:sz="0" w:space="0" w:color="auto"/>
            <w:left w:val="none" w:sz="0" w:space="0" w:color="auto"/>
            <w:bottom w:val="none" w:sz="0" w:space="0" w:color="auto"/>
            <w:right w:val="none" w:sz="0" w:space="0" w:color="auto"/>
          </w:divBdr>
        </w:div>
        <w:div w:id="1666207557">
          <w:marLeft w:val="1800"/>
          <w:marRight w:val="0"/>
          <w:marTop w:val="100"/>
          <w:marBottom w:val="0"/>
          <w:divBdr>
            <w:top w:val="none" w:sz="0" w:space="0" w:color="auto"/>
            <w:left w:val="none" w:sz="0" w:space="0" w:color="auto"/>
            <w:bottom w:val="none" w:sz="0" w:space="0" w:color="auto"/>
            <w:right w:val="none" w:sz="0" w:space="0" w:color="auto"/>
          </w:divBdr>
        </w:div>
        <w:div w:id="456797567">
          <w:marLeft w:val="1800"/>
          <w:marRight w:val="0"/>
          <w:marTop w:val="100"/>
          <w:marBottom w:val="0"/>
          <w:divBdr>
            <w:top w:val="none" w:sz="0" w:space="0" w:color="auto"/>
            <w:left w:val="none" w:sz="0" w:space="0" w:color="auto"/>
            <w:bottom w:val="none" w:sz="0" w:space="0" w:color="auto"/>
            <w:right w:val="none" w:sz="0" w:space="0" w:color="auto"/>
          </w:divBdr>
        </w:div>
        <w:div w:id="1346711557">
          <w:marLeft w:val="1800"/>
          <w:marRight w:val="0"/>
          <w:marTop w:val="100"/>
          <w:marBottom w:val="0"/>
          <w:divBdr>
            <w:top w:val="none" w:sz="0" w:space="0" w:color="auto"/>
            <w:left w:val="none" w:sz="0" w:space="0" w:color="auto"/>
            <w:bottom w:val="none" w:sz="0" w:space="0" w:color="auto"/>
            <w:right w:val="none" w:sz="0" w:space="0" w:color="auto"/>
          </w:divBdr>
        </w:div>
        <w:div w:id="641883283">
          <w:marLeft w:val="2520"/>
          <w:marRight w:val="0"/>
          <w:marTop w:val="100"/>
          <w:marBottom w:val="0"/>
          <w:divBdr>
            <w:top w:val="none" w:sz="0" w:space="0" w:color="auto"/>
            <w:left w:val="none" w:sz="0" w:space="0" w:color="auto"/>
            <w:bottom w:val="none" w:sz="0" w:space="0" w:color="auto"/>
            <w:right w:val="none" w:sz="0" w:space="0" w:color="auto"/>
          </w:divBdr>
        </w:div>
        <w:div w:id="280577324">
          <w:marLeft w:val="2520"/>
          <w:marRight w:val="0"/>
          <w:marTop w:val="100"/>
          <w:marBottom w:val="0"/>
          <w:divBdr>
            <w:top w:val="none" w:sz="0" w:space="0" w:color="auto"/>
            <w:left w:val="none" w:sz="0" w:space="0" w:color="auto"/>
            <w:bottom w:val="none" w:sz="0" w:space="0" w:color="auto"/>
            <w:right w:val="none" w:sz="0" w:space="0" w:color="auto"/>
          </w:divBdr>
        </w:div>
        <w:div w:id="2019118685">
          <w:marLeft w:val="1800"/>
          <w:marRight w:val="0"/>
          <w:marTop w:val="100"/>
          <w:marBottom w:val="0"/>
          <w:divBdr>
            <w:top w:val="none" w:sz="0" w:space="0" w:color="auto"/>
            <w:left w:val="none" w:sz="0" w:space="0" w:color="auto"/>
            <w:bottom w:val="none" w:sz="0" w:space="0" w:color="auto"/>
            <w:right w:val="none" w:sz="0" w:space="0" w:color="auto"/>
          </w:divBdr>
        </w:div>
        <w:div w:id="1877502344">
          <w:marLeft w:val="2520"/>
          <w:marRight w:val="0"/>
          <w:marTop w:val="100"/>
          <w:marBottom w:val="0"/>
          <w:divBdr>
            <w:top w:val="none" w:sz="0" w:space="0" w:color="auto"/>
            <w:left w:val="none" w:sz="0" w:space="0" w:color="auto"/>
            <w:bottom w:val="none" w:sz="0" w:space="0" w:color="auto"/>
            <w:right w:val="none" w:sz="0" w:space="0" w:color="auto"/>
          </w:divBdr>
        </w:div>
        <w:div w:id="1988699931">
          <w:marLeft w:val="2520"/>
          <w:marRight w:val="0"/>
          <w:marTop w:val="1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BD1D8-A5B8-4CAC-AB46-F1BF55F88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2018-05-14T11:40:00Z</dcterms:created>
  <dcterms:modified xsi:type="dcterms:W3CDTF">2018-05-14T20:31:00Z</dcterms:modified>
</cp:coreProperties>
</file>